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A8A" w:rsidRDefault="004514D9">
      <w:pPr>
        <w:widowControl/>
        <w:snapToGrid w:val="0"/>
        <w:spacing w:line="580" w:lineRule="exact"/>
        <w:ind w:firstLineChars="200" w:firstLine="668"/>
        <w:rPr>
          <w:rFonts w:ascii="方正仿宋简体" w:eastAsia="方正仿宋简体" w:hAnsi="方正仿宋简体" w:cs="仿宋"/>
          <w:b/>
          <w:bCs/>
          <w:color w:val="000000"/>
          <w:spacing w:val="10"/>
          <w:w w:val="98"/>
          <w:sz w:val="32"/>
          <w:szCs w:val="32"/>
        </w:rPr>
      </w:pPr>
      <w:bookmarkStart w:id="0" w:name="_GoBack"/>
      <w:bookmarkEnd w:id="0"/>
      <w:r>
        <w:rPr>
          <w:rFonts w:ascii="方正仿宋简体" w:eastAsia="方正仿宋简体" w:hAnsi="方正仿宋简体" w:cs="仿宋" w:hint="eastAsia"/>
          <w:b/>
          <w:bCs/>
          <w:color w:val="000000"/>
          <w:spacing w:val="10"/>
          <w:w w:val="98"/>
          <w:sz w:val="32"/>
          <w:szCs w:val="32"/>
        </w:rPr>
        <w:t>附获奖名单：</w:t>
      </w:r>
    </w:p>
    <w:p w:rsidR="00697A8A" w:rsidRDefault="004514D9">
      <w:pPr>
        <w:widowControl/>
        <w:snapToGrid w:val="0"/>
        <w:spacing w:beforeLines="100" w:before="312" w:afterLines="100" w:after="312" w:line="580" w:lineRule="exact"/>
        <w:jc w:val="center"/>
        <w:rPr>
          <w:rFonts w:ascii="楷体" w:eastAsia="楷体" w:hAnsi="楷体" w:cs="楷体"/>
          <w:b/>
          <w:bCs/>
          <w:color w:val="000000"/>
          <w:spacing w:val="10"/>
          <w:w w:val="98"/>
          <w:sz w:val="33"/>
          <w:szCs w:val="33"/>
        </w:rPr>
      </w:pPr>
      <w:r>
        <w:rPr>
          <w:rFonts w:ascii="楷体" w:eastAsia="楷体" w:hAnsi="楷体" w:cs="楷体"/>
          <w:b/>
          <w:bCs/>
          <w:color w:val="000000"/>
          <w:spacing w:val="10"/>
          <w:w w:val="98"/>
          <w:sz w:val="33"/>
          <w:szCs w:val="33"/>
        </w:rPr>
        <w:t>一等奖</w:t>
      </w:r>
      <w:r>
        <w:rPr>
          <w:rFonts w:ascii="楷体" w:eastAsia="楷体" w:hAnsi="楷体" w:cs="楷体" w:hint="eastAsia"/>
          <w:b/>
          <w:bCs/>
          <w:color w:val="000000"/>
          <w:spacing w:val="10"/>
          <w:w w:val="98"/>
          <w:sz w:val="33"/>
          <w:szCs w:val="33"/>
        </w:rPr>
        <w:t>获奖名单</w:t>
      </w:r>
    </w:p>
    <w:tbl>
      <w:tblPr>
        <w:tblW w:w="5301" w:type="pct"/>
        <w:tblInd w:w="-235" w:type="dxa"/>
        <w:tblCellMar>
          <w:left w:w="0" w:type="dxa"/>
          <w:right w:w="0" w:type="dxa"/>
        </w:tblCellMar>
        <w:tblLook w:val="04A0" w:firstRow="1" w:lastRow="0" w:firstColumn="1" w:lastColumn="0" w:noHBand="0" w:noVBand="1"/>
      </w:tblPr>
      <w:tblGrid>
        <w:gridCol w:w="2224"/>
        <w:gridCol w:w="1758"/>
        <w:gridCol w:w="5288"/>
      </w:tblGrid>
      <w:tr w:rsidR="00697A8A">
        <w:trPr>
          <w:trHeight w:val="49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b/>
                <w:bCs/>
                <w:sz w:val="28"/>
                <w:szCs w:val="28"/>
              </w:rPr>
            </w:pPr>
            <w:r>
              <w:rPr>
                <w:rFonts w:ascii="仿宋" w:eastAsia="仿宋" w:hAnsi="仿宋" w:cs="仿宋" w:hint="eastAsia"/>
                <w:b/>
                <w:bCs/>
                <w:sz w:val="28"/>
                <w:szCs w:val="28"/>
              </w:rPr>
              <w:t>高校</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b/>
                <w:bCs/>
                <w:sz w:val="28"/>
                <w:szCs w:val="28"/>
              </w:rPr>
            </w:pPr>
            <w:r>
              <w:rPr>
                <w:rFonts w:ascii="仿宋" w:eastAsia="仿宋" w:hAnsi="仿宋" w:cs="仿宋" w:hint="eastAsia"/>
                <w:b/>
                <w:bCs/>
                <w:sz w:val="28"/>
                <w:szCs w:val="28"/>
              </w:rPr>
              <w:t>队伍名称</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b/>
                <w:bCs/>
                <w:sz w:val="28"/>
                <w:szCs w:val="28"/>
              </w:rPr>
            </w:pPr>
            <w:r>
              <w:rPr>
                <w:rFonts w:ascii="仿宋" w:eastAsia="仿宋" w:hAnsi="仿宋" w:cs="仿宋" w:hint="eastAsia"/>
                <w:b/>
                <w:bCs/>
                <w:sz w:val="28"/>
                <w:szCs w:val="28"/>
              </w:rPr>
              <w:t>报告名称</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衡阳师范学院</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超能陆战队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近岸外包与中国汽车零部件企业的战略机遇：墨西哥市场进入路径与策略研究</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重庆科技大学</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墨域掘金队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机遇与风险：中资企业进入墨西哥市场的路径选择</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湖州师范大学</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久铸越章小分队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掘金南向，管通越海</w:t>
            </w:r>
            <w:r>
              <w:rPr>
                <w:rFonts w:ascii="仿宋" w:eastAsia="仿宋" w:hAnsi="仿宋" w:cs="仿宋"/>
                <w:sz w:val="28"/>
                <w:szCs w:val="28"/>
              </w:rPr>
              <w:t>——</w:t>
            </w:r>
            <w:r>
              <w:rPr>
                <w:rFonts w:ascii="仿宋" w:eastAsia="仿宋" w:hAnsi="仿宋" w:cs="仿宋"/>
                <w:sz w:val="28"/>
                <w:szCs w:val="28"/>
              </w:rPr>
              <w:t>久立特材在越南高端不锈钢管市场的进入路径研究</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西南财经大学</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海湾小纵队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hint="eastAsia"/>
                <w:sz w:val="28"/>
                <w:szCs w:val="28"/>
              </w:rPr>
              <w:t>“</w:t>
            </w:r>
            <w:r>
              <w:rPr>
                <w:rFonts w:ascii="仿宋" w:eastAsia="仿宋" w:hAnsi="仿宋"/>
                <w:sz w:val="28"/>
                <w:szCs w:val="28"/>
              </w:rPr>
              <w:t>出海</w:t>
            </w:r>
            <w:r>
              <w:rPr>
                <w:rFonts w:ascii="仿宋" w:eastAsia="仿宋" w:hAnsi="仿宋" w:hint="eastAsia"/>
                <w:sz w:val="28"/>
                <w:szCs w:val="28"/>
              </w:rPr>
              <w:t>”</w:t>
            </w:r>
            <w:r>
              <w:rPr>
                <w:rFonts w:ascii="仿宋" w:eastAsia="仿宋" w:hAnsi="仿宋"/>
                <w:sz w:val="28"/>
                <w:szCs w:val="28"/>
              </w:rPr>
              <w:t>新热土：</w:t>
            </w:r>
            <w:r>
              <w:rPr>
                <w:rFonts w:ascii="仿宋" w:eastAsia="仿宋" w:hAnsi="仿宋"/>
                <w:sz w:val="28"/>
                <w:szCs w:val="28"/>
              </w:rPr>
              <w:t>GCC</w:t>
            </w:r>
            <w:r>
              <w:rPr>
                <w:rFonts w:ascii="仿宋" w:eastAsia="仿宋" w:hAnsi="仿宋"/>
                <w:sz w:val="28"/>
                <w:szCs w:val="28"/>
              </w:rPr>
              <w:t>区域商务环境解码与中国企业的市场进入策略</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湖南农业大学</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从容应队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非跃数界：非洲数字经济扩张期的商务环境评估与中企进入路径研究</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辽宁大学</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指定能成队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绿航赋能，破局兴程</w:t>
            </w:r>
            <w:r>
              <w:rPr>
                <w:rFonts w:ascii="仿宋" w:eastAsia="仿宋" w:hAnsi="仿宋"/>
                <w:sz w:val="28"/>
                <w:szCs w:val="28"/>
              </w:rPr>
              <w:t>——</w:t>
            </w:r>
            <w:r>
              <w:rPr>
                <w:rFonts w:ascii="仿宋" w:eastAsia="仿宋" w:hAnsi="仿宋"/>
                <w:sz w:val="28"/>
                <w:szCs w:val="28"/>
              </w:rPr>
              <w:t>欧盟低碳商务环境与中欧航运走廊的中国破局路径</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中南财经政法大学</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第一梯队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全产业链视角下中国绿氢企业国际化路径研究</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东北财经大学</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六六归一队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智农越洋，惠农兴邦：中国智慧农业深耕尼日利亚的战略研究</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西南民族大学</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红石榴队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RCEP</w:t>
            </w:r>
            <w:r>
              <w:rPr>
                <w:rFonts w:ascii="仿宋" w:eastAsia="仿宋" w:hAnsi="仿宋"/>
                <w:sz w:val="28"/>
                <w:szCs w:val="28"/>
              </w:rPr>
              <w:t>知识产权框架下四川生物医药产品进入东盟的制度壁垒与本土化合作模式研</w:t>
            </w:r>
            <w:r>
              <w:rPr>
                <w:rFonts w:ascii="仿宋" w:eastAsia="仿宋" w:hAnsi="仿宋"/>
                <w:sz w:val="28"/>
                <w:szCs w:val="28"/>
              </w:rPr>
              <w:lastRenderedPageBreak/>
              <w:t>究</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lastRenderedPageBreak/>
              <w:t>浙江财经大学</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勇往直前队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中国智能手机</w:t>
            </w:r>
            <w:r>
              <w:rPr>
                <w:rFonts w:ascii="仿宋" w:eastAsia="仿宋" w:hAnsi="仿宋"/>
                <w:sz w:val="28"/>
                <w:szCs w:val="28"/>
              </w:rPr>
              <w:t>RCEP</w:t>
            </w:r>
            <w:r>
              <w:rPr>
                <w:rFonts w:ascii="仿宋" w:eastAsia="仿宋" w:hAnsi="仿宋"/>
                <w:sz w:val="28"/>
                <w:szCs w:val="28"/>
              </w:rPr>
              <w:t>目标市场开拓方案</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西南财经大学</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非同寻常队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中非合作论坛助力中国企业在非多元化经营的制度红利与生态构建</w:t>
            </w:r>
          </w:p>
        </w:tc>
      </w:tr>
      <w:tr w:rsidR="00697A8A">
        <w:trPr>
          <w:trHeight w:val="270"/>
        </w:trPr>
        <w:tc>
          <w:tcPr>
            <w:tcW w:w="2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闽南师范大学</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智帆竞海队</w:t>
            </w:r>
          </w:p>
        </w:tc>
        <w:tc>
          <w:tcPr>
            <w:tcW w:w="52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中国智能船舶航行辅助设备加快进军东盟市场的商务环境与模式选择研究：基于</w:t>
            </w:r>
            <w:r>
              <w:rPr>
                <w:rFonts w:ascii="仿宋" w:eastAsia="仿宋" w:hAnsi="仿宋"/>
                <w:sz w:val="28"/>
                <w:szCs w:val="28"/>
              </w:rPr>
              <w:t>G-PESTEL</w:t>
            </w:r>
            <w:r>
              <w:rPr>
                <w:rFonts w:ascii="仿宋" w:eastAsia="仿宋" w:hAnsi="仿宋"/>
                <w:sz w:val="28"/>
                <w:szCs w:val="28"/>
              </w:rPr>
              <w:t>模型</w:t>
            </w:r>
          </w:p>
        </w:tc>
      </w:tr>
    </w:tbl>
    <w:p w:rsidR="00697A8A" w:rsidRDefault="004514D9">
      <w:pPr>
        <w:widowControl/>
        <w:snapToGrid w:val="0"/>
        <w:spacing w:beforeLines="100" w:before="312" w:afterLines="100" w:after="312" w:line="580" w:lineRule="exact"/>
        <w:ind w:firstLineChars="200" w:firstLine="692"/>
        <w:jc w:val="center"/>
        <w:rPr>
          <w:rFonts w:ascii="楷体" w:eastAsia="楷体" w:hAnsi="楷体" w:cs="楷体"/>
          <w:b/>
          <w:bCs/>
          <w:color w:val="000000"/>
          <w:spacing w:val="10"/>
          <w:w w:val="98"/>
          <w:sz w:val="33"/>
          <w:szCs w:val="33"/>
        </w:rPr>
      </w:pPr>
      <w:r>
        <w:rPr>
          <w:rFonts w:ascii="楷体" w:eastAsia="楷体" w:hAnsi="楷体" w:cs="楷体" w:hint="eastAsia"/>
          <w:b/>
          <w:bCs/>
          <w:color w:val="000000"/>
          <w:spacing w:val="10"/>
          <w:w w:val="98"/>
          <w:sz w:val="33"/>
          <w:szCs w:val="33"/>
        </w:rPr>
        <w:t>二</w:t>
      </w:r>
      <w:r>
        <w:rPr>
          <w:rFonts w:ascii="楷体" w:eastAsia="楷体" w:hAnsi="楷体" w:cs="楷体"/>
          <w:b/>
          <w:bCs/>
          <w:color w:val="000000"/>
          <w:spacing w:val="10"/>
          <w:w w:val="98"/>
          <w:sz w:val="33"/>
          <w:szCs w:val="33"/>
        </w:rPr>
        <w:t>等奖</w:t>
      </w:r>
      <w:r>
        <w:rPr>
          <w:rFonts w:ascii="楷体" w:eastAsia="楷体" w:hAnsi="楷体" w:cs="楷体" w:hint="eastAsia"/>
          <w:b/>
          <w:bCs/>
          <w:color w:val="000000"/>
          <w:spacing w:val="10"/>
          <w:w w:val="98"/>
          <w:sz w:val="33"/>
          <w:szCs w:val="33"/>
        </w:rPr>
        <w:t>获奖名单</w:t>
      </w:r>
    </w:p>
    <w:tbl>
      <w:tblPr>
        <w:tblW w:w="5411" w:type="pct"/>
        <w:jc w:val="center"/>
        <w:tblCellMar>
          <w:left w:w="0" w:type="dxa"/>
          <w:right w:w="0" w:type="dxa"/>
        </w:tblCellMar>
        <w:tblLook w:val="04A0" w:firstRow="1" w:lastRow="0" w:firstColumn="1" w:lastColumn="0" w:noHBand="0" w:noVBand="1"/>
      </w:tblPr>
      <w:tblGrid>
        <w:gridCol w:w="1999"/>
        <w:gridCol w:w="1803"/>
        <w:gridCol w:w="5661"/>
      </w:tblGrid>
      <w:tr w:rsidR="00697A8A">
        <w:trPr>
          <w:trHeight w:val="49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b/>
                <w:bCs/>
                <w:sz w:val="28"/>
                <w:szCs w:val="28"/>
              </w:rPr>
            </w:pPr>
            <w:r>
              <w:rPr>
                <w:rFonts w:ascii="仿宋" w:eastAsia="仿宋" w:hAnsi="仿宋" w:cs="仿宋" w:hint="eastAsia"/>
                <w:b/>
                <w:bCs/>
                <w:sz w:val="28"/>
                <w:szCs w:val="28"/>
              </w:rPr>
              <w:t>高校</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b/>
                <w:bCs/>
                <w:sz w:val="28"/>
                <w:szCs w:val="28"/>
              </w:rPr>
            </w:pPr>
            <w:r>
              <w:rPr>
                <w:rFonts w:ascii="仿宋" w:eastAsia="仿宋" w:hAnsi="仿宋" w:cs="仿宋" w:hint="eastAsia"/>
                <w:b/>
                <w:bCs/>
                <w:sz w:val="28"/>
                <w:szCs w:val="28"/>
              </w:rPr>
              <w:t>队伍名称</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b/>
                <w:bCs/>
                <w:sz w:val="28"/>
                <w:szCs w:val="28"/>
              </w:rPr>
            </w:pPr>
            <w:r>
              <w:rPr>
                <w:rFonts w:ascii="仿宋" w:eastAsia="仿宋" w:hAnsi="仿宋" w:cs="仿宋" w:hint="eastAsia"/>
                <w:b/>
                <w:bCs/>
                <w:sz w:val="28"/>
                <w:szCs w:val="28"/>
              </w:rPr>
              <w:t>报告名称</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hint="eastAsia"/>
                <w:sz w:val="28"/>
                <w:szCs w:val="28"/>
              </w:rPr>
              <w:t>云南大学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差不多队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中国铝产品出口墨西哥市场的进入路径与策略研究</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西南财经大学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Altyn Qyran (</w:t>
            </w:r>
            <w:r>
              <w:rPr>
                <w:rFonts w:ascii="仿宋" w:eastAsia="仿宋" w:hAnsi="仿宋" w:cs="仿宋"/>
                <w:sz w:val="28"/>
                <w:szCs w:val="28"/>
              </w:rPr>
              <w:t>金鹰</w:t>
            </w:r>
            <w:r>
              <w:rPr>
                <w:rFonts w:ascii="仿宋" w:eastAsia="仿宋" w:hAnsi="仿宋" w:cs="仿宋"/>
                <w:sz w:val="28"/>
                <w:szCs w:val="28"/>
              </w:rPr>
              <w:t>)</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破局与深耕：中国企业进入哈萨克斯坦电力市场的模式、路径与风险防控研究</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广西科技大学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钱途无量队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中国动力电池精密结构件企业出海印尼：市场机会与落地策略研究</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中央民族大学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石榴籽小队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越南生活用纸市场掘金</w:t>
            </w:r>
            <w:r>
              <w:rPr>
                <w:rFonts w:ascii="仿宋" w:eastAsia="仿宋" w:hAnsi="仿宋" w:cs="仿宋"/>
                <w:sz w:val="28"/>
                <w:szCs w:val="28"/>
              </w:rPr>
              <w:t>—</w:t>
            </w:r>
            <w:r>
              <w:rPr>
                <w:rFonts w:ascii="仿宋" w:eastAsia="仿宋" w:hAnsi="仿宋" w:cs="仿宋"/>
                <w:sz w:val="28"/>
                <w:szCs w:val="28"/>
              </w:rPr>
              <w:t>基于</w:t>
            </w:r>
            <w:r>
              <w:rPr>
                <w:rFonts w:ascii="仿宋" w:eastAsia="仿宋" w:hAnsi="仿宋" w:cs="仿宋"/>
                <w:sz w:val="28"/>
                <w:szCs w:val="28"/>
              </w:rPr>
              <w:t>GTL</w:t>
            </w:r>
            <w:r>
              <w:rPr>
                <w:rFonts w:ascii="仿宋" w:eastAsia="仿宋" w:hAnsi="仿宋" w:cs="仿宋"/>
                <w:sz w:val="28"/>
                <w:szCs w:val="28"/>
              </w:rPr>
              <w:t>供应链集成</w:t>
            </w:r>
            <w:r>
              <w:rPr>
                <w:rFonts w:ascii="仿宋" w:eastAsia="仿宋" w:hAnsi="仿宋" w:cs="仿宋"/>
                <w:sz w:val="28"/>
                <w:szCs w:val="28"/>
              </w:rPr>
              <w:t>TO B</w:t>
            </w:r>
            <w:r>
              <w:rPr>
                <w:rFonts w:ascii="仿宋" w:eastAsia="仿宋" w:hAnsi="仿宋" w:cs="仿宋"/>
                <w:sz w:val="28"/>
                <w:szCs w:val="28"/>
              </w:rPr>
              <w:t>掘金策略研究报告</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大连民族大学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老师说的全都队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cs="仿宋"/>
                <w:sz w:val="28"/>
                <w:szCs w:val="28"/>
              </w:rPr>
              <w:t>双碳背景下绿电赋能</w:t>
            </w:r>
            <w:r>
              <w:rPr>
                <w:rFonts w:ascii="仿宋" w:eastAsia="仿宋" w:hAnsi="仿宋" w:cs="仿宋"/>
                <w:sz w:val="28"/>
                <w:szCs w:val="28"/>
              </w:rPr>
              <w:t>AI</w:t>
            </w:r>
            <w:r>
              <w:rPr>
                <w:rFonts w:ascii="仿宋" w:eastAsia="仿宋" w:hAnsi="仿宋" w:cs="仿宋"/>
                <w:sz w:val="28"/>
                <w:szCs w:val="28"/>
              </w:rPr>
              <w:t>算力服务</w:t>
            </w:r>
            <w:r>
              <w:rPr>
                <w:rFonts w:ascii="仿宋" w:eastAsia="仿宋" w:hAnsi="仿宋" w:cs="仿宋"/>
                <w:sz w:val="28"/>
                <w:szCs w:val="28"/>
              </w:rPr>
              <w:t>Token</w:t>
            </w:r>
            <w:r>
              <w:rPr>
                <w:rFonts w:ascii="仿宋" w:eastAsia="仿宋" w:hAnsi="仿宋" w:cs="仿宋"/>
                <w:sz w:val="28"/>
                <w:szCs w:val="28"/>
              </w:rPr>
              <w:t>出海：阿联酋市场机遇与开发路径研究</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四川外国语大学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鹏程万里队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全球不确定性背景下欧盟商务环境演变及中国企业应对研究</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lastRenderedPageBreak/>
              <w:t>内蒙古财经大学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财智先锋队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蒙古国营商环境的多维评估与中资企业投资策略研究</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北京语言大学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sz w:val="28"/>
                <w:szCs w:val="28"/>
              </w:rPr>
              <w:t>一个队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cs="仿宋"/>
                <w:sz w:val="28"/>
                <w:szCs w:val="28"/>
              </w:rPr>
            </w:pPr>
            <w:r>
              <w:rPr>
                <w:rFonts w:ascii="仿宋" w:eastAsia="仿宋" w:hAnsi="仿宋" w:hint="eastAsia"/>
                <w:sz w:val="28"/>
                <w:szCs w:val="28"/>
              </w:rPr>
              <w:t>“</w:t>
            </w:r>
            <w:r>
              <w:rPr>
                <w:rFonts w:ascii="仿宋" w:eastAsia="仿宋" w:hAnsi="仿宋"/>
                <w:sz w:val="28"/>
                <w:szCs w:val="28"/>
              </w:rPr>
              <w:t>欧</w:t>
            </w:r>
            <w:r>
              <w:rPr>
                <w:rFonts w:ascii="仿宋" w:eastAsia="仿宋" w:hAnsi="仿宋" w:hint="eastAsia"/>
                <w:sz w:val="28"/>
                <w:szCs w:val="28"/>
              </w:rPr>
              <w:t>”</w:t>
            </w:r>
            <w:r>
              <w:rPr>
                <w:rFonts w:ascii="仿宋" w:eastAsia="仿宋" w:hAnsi="仿宋"/>
                <w:sz w:val="28"/>
                <w:szCs w:val="28"/>
              </w:rPr>
              <w:t>览全局：基于</w:t>
            </w:r>
            <w:r>
              <w:rPr>
                <w:rFonts w:ascii="仿宋" w:eastAsia="仿宋" w:hAnsi="仿宋"/>
                <w:sz w:val="28"/>
                <w:szCs w:val="28"/>
              </w:rPr>
              <w:t>PESTLE</w:t>
            </w:r>
            <w:r>
              <w:rPr>
                <w:rFonts w:ascii="仿宋" w:eastAsia="仿宋" w:hAnsi="仿宋"/>
                <w:sz w:val="28"/>
                <w:szCs w:val="28"/>
              </w:rPr>
              <w:t>模型的欧盟商务环境多维评估与机遇挑战研究</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上海对外经贸大学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越洋智拓队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hint="eastAsia"/>
                <w:sz w:val="28"/>
                <w:szCs w:val="28"/>
              </w:rPr>
              <w:t>“四”机而“越”——工业级四足机器人从产品出口到生态共建的越南市场三段式开拓方案</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西南财经大学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链</w:t>
            </w:r>
            <w:r>
              <w:rPr>
                <w:rFonts w:ascii="仿宋" w:eastAsia="仿宋" w:hAnsi="仿宋" w:hint="eastAsia"/>
                <w:sz w:val="28"/>
                <w:szCs w:val="28"/>
              </w:rPr>
              <w:t>”</w:t>
            </w:r>
            <w:r>
              <w:rPr>
                <w:rFonts w:ascii="仿宋" w:eastAsia="仿宋" w:hAnsi="仿宋"/>
                <w:sz w:val="28"/>
                <w:szCs w:val="28"/>
              </w:rPr>
              <w:t>通印尼队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勇破</w:t>
            </w:r>
            <w:r>
              <w:rPr>
                <w:rFonts w:ascii="仿宋" w:eastAsia="仿宋" w:hAnsi="仿宋" w:hint="eastAsia"/>
                <w:sz w:val="28"/>
                <w:szCs w:val="28"/>
              </w:rPr>
              <w:t>“</w:t>
            </w:r>
            <w:r>
              <w:rPr>
                <w:rFonts w:ascii="仿宋" w:eastAsia="仿宋" w:hAnsi="仿宋"/>
                <w:sz w:val="28"/>
                <w:szCs w:val="28"/>
              </w:rPr>
              <w:t>新</w:t>
            </w:r>
            <w:r>
              <w:rPr>
                <w:rFonts w:ascii="仿宋" w:eastAsia="仿宋" w:hAnsi="仿宋" w:hint="eastAsia"/>
                <w:sz w:val="28"/>
                <w:szCs w:val="28"/>
              </w:rPr>
              <w:t>”</w:t>
            </w:r>
            <w:r>
              <w:rPr>
                <w:rFonts w:ascii="仿宋" w:eastAsia="仿宋" w:hAnsi="仿宋"/>
                <w:sz w:val="28"/>
                <w:szCs w:val="28"/>
              </w:rPr>
              <w:t>局，</w:t>
            </w:r>
            <w:r>
              <w:rPr>
                <w:rFonts w:ascii="仿宋" w:eastAsia="仿宋" w:hAnsi="仿宋" w:hint="eastAsia"/>
                <w:sz w:val="28"/>
                <w:szCs w:val="28"/>
              </w:rPr>
              <w:t>“</w:t>
            </w:r>
            <w:r>
              <w:rPr>
                <w:rFonts w:ascii="仿宋" w:eastAsia="仿宋" w:hAnsi="仿宋"/>
                <w:sz w:val="28"/>
                <w:szCs w:val="28"/>
              </w:rPr>
              <w:t>链</w:t>
            </w:r>
            <w:r>
              <w:rPr>
                <w:rFonts w:ascii="仿宋" w:eastAsia="仿宋" w:hAnsi="仿宋" w:hint="eastAsia"/>
                <w:sz w:val="28"/>
                <w:szCs w:val="28"/>
              </w:rPr>
              <w:t>”</w:t>
            </w:r>
            <w:r>
              <w:rPr>
                <w:rFonts w:ascii="仿宋" w:eastAsia="仿宋" w:hAnsi="仿宋"/>
                <w:sz w:val="28"/>
                <w:szCs w:val="28"/>
              </w:rPr>
              <w:t>通印尼</w:t>
            </w:r>
            <w:r>
              <w:rPr>
                <w:rFonts w:ascii="仿宋" w:eastAsia="仿宋" w:hAnsi="仿宋"/>
                <w:sz w:val="28"/>
                <w:szCs w:val="28"/>
              </w:rPr>
              <w:t xml:space="preserve"> ——</w:t>
            </w:r>
            <w:r>
              <w:rPr>
                <w:rFonts w:ascii="仿宋" w:eastAsia="仿宋" w:hAnsi="仿宋"/>
                <w:sz w:val="28"/>
                <w:szCs w:val="28"/>
              </w:rPr>
              <w:t>产业链出海视角下中国新能源汽车印尼市场破局方案</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天津财经大学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进决赛就吃火锅队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天途共拓，星联中东</w:t>
            </w:r>
            <w:r>
              <w:rPr>
                <w:rFonts w:ascii="仿宋" w:eastAsia="仿宋" w:hAnsi="仿宋" w:hint="eastAsia"/>
                <w:sz w:val="28"/>
                <w:szCs w:val="28"/>
              </w:rPr>
              <w:t>——</w:t>
            </w:r>
            <w:r>
              <w:rPr>
                <w:rFonts w:ascii="仿宋" w:eastAsia="仿宋" w:hAnsi="仿宋"/>
                <w:sz w:val="28"/>
                <w:szCs w:val="28"/>
              </w:rPr>
              <w:t>全球价值链重构下中国商业航天出海中东的开拓方案</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北京物资学院</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66</w:t>
            </w:r>
            <w:r>
              <w:rPr>
                <w:rFonts w:ascii="仿宋" w:eastAsia="仿宋" w:hAnsi="仿宋"/>
                <w:sz w:val="28"/>
                <w:szCs w:val="28"/>
              </w:rPr>
              <w:t>大顺</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云圣智能低空业务沙特市场开拓策略分析</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合肥工业大学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MIB</w:t>
            </w:r>
            <w:r>
              <w:rPr>
                <w:rFonts w:ascii="仿宋" w:eastAsia="仿宋" w:hAnsi="仿宋"/>
                <w:sz w:val="28"/>
                <w:szCs w:val="28"/>
              </w:rPr>
              <w:t>不关机</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中国半导体企业东南亚市场开拓方案</w:t>
            </w:r>
            <w:r>
              <w:rPr>
                <w:rFonts w:ascii="仿宋" w:eastAsia="仿宋" w:hAnsi="仿宋" w:hint="eastAsia"/>
                <w:sz w:val="28"/>
                <w:szCs w:val="28"/>
              </w:rPr>
              <w:t>——</w:t>
            </w:r>
            <w:r>
              <w:rPr>
                <w:rFonts w:ascii="仿宋" w:eastAsia="仿宋" w:hAnsi="仿宋"/>
                <w:sz w:val="28"/>
                <w:szCs w:val="28"/>
              </w:rPr>
              <w:t>以创新网络嵌入实现</w:t>
            </w:r>
            <w:r>
              <w:rPr>
                <w:rFonts w:ascii="仿宋" w:eastAsia="仿宋" w:hAnsi="仿宋" w:hint="eastAsia"/>
                <w:sz w:val="28"/>
                <w:szCs w:val="28"/>
              </w:rPr>
              <w:t>“</w:t>
            </w:r>
            <w:r>
              <w:rPr>
                <w:rFonts w:ascii="仿宋" w:eastAsia="仿宋" w:hAnsi="仿宋"/>
                <w:sz w:val="28"/>
                <w:szCs w:val="28"/>
              </w:rPr>
              <w:t>双循环</w:t>
            </w:r>
            <w:r>
              <w:rPr>
                <w:rFonts w:ascii="仿宋" w:eastAsia="仿宋" w:hAnsi="仿宋" w:hint="eastAsia"/>
                <w:sz w:val="28"/>
                <w:szCs w:val="28"/>
              </w:rPr>
              <w:t>”</w:t>
            </w:r>
            <w:r>
              <w:rPr>
                <w:rFonts w:ascii="仿宋" w:eastAsia="仿宋" w:hAnsi="仿宋"/>
                <w:sz w:val="28"/>
                <w:szCs w:val="28"/>
              </w:rPr>
              <w:t>协同</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佛山大学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一加一</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中国手术机器人企业出海的区位选择与影响因素分析</w:t>
            </w:r>
            <w:r>
              <w:rPr>
                <w:rFonts w:ascii="仿宋" w:eastAsia="仿宋" w:hAnsi="仿宋" w:hint="eastAsia"/>
                <w:sz w:val="28"/>
                <w:szCs w:val="28"/>
              </w:rPr>
              <w:t>——</w:t>
            </w:r>
            <w:r>
              <w:rPr>
                <w:rFonts w:ascii="仿宋" w:eastAsia="仿宋" w:hAnsi="仿宋"/>
                <w:sz w:val="28"/>
                <w:szCs w:val="28"/>
              </w:rPr>
              <w:t>基于扎根理论的分析</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大连民族大学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非官方明星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测潜力、析图局、探路经</w:t>
            </w:r>
            <w:r>
              <w:rPr>
                <w:rFonts w:ascii="仿宋" w:eastAsia="仿宋" w:hAnsi="仿宋" w:hint="eastAsia"/>
                <w:sz w:val="28"/>
                <w:szCs w:val="28"/>
              </w:rPr>
              <w:t>——</w:t>
            </w:r>
            <w:r>
              <w:rPr>
                <w:rFonts w:ascii="仿宋" w:eastAsia="仿宋" w:hAnsi="仿宋"/>
                <w:sz w:val="28"/>
                <w:szCs w:val="28"/>
              </w:rPr>
              <w:t>中国集成电路出海越南的战略研判</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湖北工业大学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黑珍珠号</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以</w:t>
            </w:r>
            <w:r>
              <w:rPr>
                <w:rFonts w:ascii="仿宋" w:eastAsia="仿宋" w:hAnsi="仿宋" w:hint="eastAsia"/>
                <w:sz w:val="28"/>
                <w:szCs w:val="28"/>
              </w:rPr>
              <w:t>“</w:t>
            </w:r>
            <w:r>
              <w:rPr>
                <w:rFonts w:ascii="仿宋" w:eastAsia="仿宋" w:hAnsi="仿宋"/>
                <w:sz w:val="28"/>
                <w:szCs w:val="28"/>
              </w:rPr>
              <w:t>机</w:t>
            </w:r>
            <w:r>
              <w:rPr>
                <w:rFonts w:ascii="仿宋" w:eastAsia="仿宋" w:hAnsi="仿宋" w:hint="eastAsia"/>
                <w:sz w:val="28"/>
                <w:szCs w:val="28"/>
              </w:rPr>
              <w:t>”</w:t>
            </w:r>
            <w:r>
              <w:rPr>
                <w:rFonts w:ascii="仿宋" w:eastAsia="仿宋" w:hAnsi="仿宋"/>
                <w:sz w:val="28"/>
                <w:szCs w:val="28"/>
              </w:rPr>
              <w:t>破局，以产兴邦：中国机器人出海市场开拓方案</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闽南师范大学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book</w:t>
            </w:r>
            <w:r>
              <w:rPr>
                <w:rFonts w:ascii="仿宋" w:eastAsia="仿宋" w:hAnsi="仿宋"/>
                <w:sz w:val="28"/>
                <w:szCs w:val="28"/>
              </w:rPr>
              <w:t>思议队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中国机电产业出海越南商务环境分析与市场</w:t>
            </w:r>
            <w:r>
              <w:rPr>
                <w:rFonts w:ascii="仿宋" w:eastAsia="仿宋" w:hAnsi="仿宋"/>
                <w:sz w:val="28"/>
                <w:szCs w:val="28"/>
              </w:rPr>
              <w:lastRenderedPageBreak/>
              <w:t>策略研究</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lastRenderedPageBreak/>
              <w:t>鲁东大学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从容应队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RCEP</w:t>
            </w:r>
            <w:r>
              <w:rPr>
                <w:rFonts w:ascii="仿宋" w:eastAsia="仿宋" w:hAnsi="仿宋"/>
                <w:sz w:val="28"/>
                <w:szCs w:val="28"/>
              </w:rPr>
              <w:t>原产地规则对中国新能源汽车产业链布局东盟的机遇与策略</w:t>
            </w:r>
            <w:r>
              <w:rPr>
                <w:rFonts w:ascii="仿宋" w:eastAsia="仿宋" w:hAnsi="仿宋" w:hint="eastAsia"/>
                <w:sz w:val="28"/>
                <w:szCs w:val="28"/>
              </w:rPr>
              <w:t>——</w:t>
            </w:r>
            <w:r>
              <w:rPr>
                <w:rFonts w:ascii="仿宋" w:eastAsia="仿宋" w:hAnsi="仿宋"/>
                <w:sz w:val="28"/>
                <w:szCs w:val="28"/>
              </w:rPr>
              <w:t>基于</w:t>
            </w:r>
            <w:r>
              <w:rPr>
                <w:rFonts w:ascii="仿宋" w:eastAsia="仿宋" w:hAnsi="仿宋"/>
                <w:sz w:val="28"/>
                <w:szCs w:val="28"/>
              </w:rPr>
              <w:t>GTAP</w:t>
            </w:r>
            <w:r>
              <w:rPr>
                <w:rFonts w:ascii="仿宋" w:eastAsia="仿宋" w:hAnsi="仿宋"/>
                <w:sz w:val="28"/>
                <w:szCs w:val="28"/>
              </w:rPr>
              <w:t>模型分析</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重庆科技大学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RCEP</w:t>
            </w:r>
            <w:r>
              <w:rPr>
                <w:rFonts w:ascii="仿宋" w:eastAsia="仿宋" w:hAnsi="仿宋"/>
                <w:sz w:val="28"/>
                <w:szCs w:val="28"/>
              </w:rPr>
              <w:t>稀土智研队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RCEP</w:t>
            </w:r>
            <w:r>
              <w:rPr>
                <w:rFonts w:ascii="仿宋" w:eastAsia="仿宋" w:hAnsi="仿宋"/>
                <w:sz w:val="28"/>
                <w:szCs w:val="28"/>
              </w:rPr>
              <w:t>制度红利下中国稀土产业链贸易格局演化及合作策略研究</w:t>
            </w:r>
          </w:p>
        </w:tc>
      </w:tr>
      <w:tr w:rsidR="00697A8A">
        <w:trPr>
          <w:trHeight w:val="270"/>
          <w:jc w:val="center"/>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云南财经大学</w:t>
            </w:r>
          </w:p>
        </w:tc>
        <w:tc>
          <w:tcPr>
            <w:tcW w:w="1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突击队</w:t>
            </w:r>
          </w:p>
        </w:tc>
        <w:tc>
          <w:tcPr>
            <w:tcW w:w="5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7A8A" w:rsidRDefault="004514D9">
            <w:pPr>
              <w:pStyle w:val="a3"/>
              <w:widowControl/>
              <w:wordWrap w:val="0"/>
              <w:jc w:val="center"/>
              <w:rPr>
                <w:rFonts w:ascii="仿宋" w:eastAsia="仿宋" w:hAnsi="仿宋"/>
                <w:sz w:val="28"/>
                <w:szCs w:val="28"/>
              </w:rPr>
            </w:pPr>
            <w:r>
              <w:rPr>
                <w:rFonts w:ascii="仿宋" w:eastAsia="仿宋" w:hAnsi="仿宋"/>
                <w:sz w:val="28"/>
                <w:szCs w:val="28"/>
              </w:rPr>
              <w:t>制度红利释放与中国企业海外经营策略选择</w:t>
            </w:r>
            <w:r>
              <w:rPr>
                <w:rFonts w:ascii="仿宋" w:eastAsia="仿宋" w:hAnsi="仿宋" w:hint="eastAsia"/>
                <w:sz w:val="28"/>
                <w:szCs w:val="28"/>
              </w:rPr>
              <w:t>——</w:t>
            </w:r>
            <w:r>
              <w:rPr>
                <w:rFonts w:ascii="仿宋" w:eastAsia="仿宋" w:hAnsi="仿宋"/>
                <w:sz w:val="28"/>
                <w:szCs w:val="28"/>
              </w:rPr>
              <w:t>以中铁集团帕德玛大桥项目为例</w:t>
            </w:r>
          </w:p>
        </w:tc>
      </w:tr>
    </w:tbl>
    <w:p w:rsidR="00697A8A" w:rsidRDefault="004514D9">
      <w:pPr>
        <w:widowControl/>
        <w:snapToGrid w:val="0"/>
        <w:spacing w:line="580" w:lineRule="exact"/>
        <w:jc w:val="left"/>
        <w:rPr>
          <w:rFonts w:ascii="方正仿宋简体" w:eastAsia="方正仿宋简体" w:hAnsi="方正仿宋简体" w:cs="仿宋"/>
          <w:color w:val="000000"/>
          <w:spacing w:val="10"/>
          <w:w w:val="98"/>
          <w:sz w:val="33"/>
          <w:szCs w:val="33"/>
        </w:rPr>
      </w:pPr>
      <w:r>
        <w:rPr>
          <w:rFonts w:ascii="方正仿宋简体" w:eastAsia="方正仿宋简体" w:hAnsi="方正仿宋简体" w:cs="仿宋" w:hint="eastAsia"/>
          <w:color w:val="000000"/>
          <w:spacing w:val="10"/>
          <w:w w:val="98"/>
          <w:sz w:val="33"/>
          <w:szCs w:val="33"/>
        </w:rPr>
        <w:t>（三等奖、优秀奖名单见初赛结果通知）</w:t>
      </w:r>
    </w:p>
    <w:p w:rsidR="00697A8A" w:rsidRDefault="00697A8A">
      <w:pPr>
        <w:widowControl/>
        <w:snapToGrid w:val="0"/>
        <w:spacing w:line="580" w:lineRule="exact"/>
        <w:jc w:val="left"/>
        <w:rPr>
          <w:rFonts w:ascii="方正仿宋简体" w:eastAsia="方正仿宋简体" w:hAnsi="方正仿宋简体" w:cs="仿宋"/>
          <w:color w:val="000000"/>
          <w:spacing w:val="10"/>
          <w:w w:val="98"/>
          <w:sz w:val="33"/>
          <w:szCs w:val="33"/>
        </w:rPr>
      </w:pPr>
    </w:p>
    <w:p w:rsidR="00697A8A" w:rsidRDefault="004514D9">
      <w:pPr>
        <w:widowControl/>
        <w:snapToGrid w:val="0"/>
        <w:spacing w:line="580" w:lineRule="exact"/>
        <w:jc w:val="center"/>
        <w:rPr>
          <w:rFonts w:ascii="楷体" w:eastAsia="楷体" w:hAnsi="楷体" w:cs="楷体"/>
          <w:b/>
          <w:bCs/>
          <w:color w:val="000000"/>
          <w:spacing w:val="10"/>
          <w:w w:val="98"/>
          <w:sz w:val="33"/>
          <w:szCs w:val="33"/>
        </w:rPr>
      </w:pPr>
      <w:r>
        <w:rPr>
          <w:rFonts w:ascii="楷体" w:eastAsia="楷体" w:hAnsi="楷体" w:cs="楷体"/>
          <w:b/>
          <w:bCs/>
          <w:color w:val="000000"/>
          <w:spacing w:val="10"/>
          <w:w w:val="98"/>
          <w:sz w:val="33"/>
          <w:szCs w:val="33"/>
        </w:rPr>
        <w:t>最佳指导教师奖</w:t>
      </w:r>
    </w:p>
    <w:p w:rsidR="00697A8A" w:rsidRDefault="004514D9">
      <w:pPr>
        <w:widowControl/>
        <w:snapToGrid w:val="0"/>
        <w:spacing w:line="580" w:lineRule="exact"/>
        <w:ind w:firstLineChars="200" w:firstLine="687"/>
        <w:jc w:val="left"/>
        <w:rPr>
          <w:rFonts w:ascii="方正仿宋简体" w:eastAsia="方正仿宋简体" w:hAnsi="方正仿宋简体" w:cs="仿宋"/>
          <w:color w:val="000000"/>
          <w:spacing w:val="10"/>
          <w:w w:val="98"/>
          <w:sz w:val="33"/>
          <w:szCs w:val="33"/>
        </w:rPr>
      </w:pPr>
      <w:r>
        <w:rPr>
          <w:rFonts w:ascii="方正仿宋简体" w:eastAsia="方正仿宋简体" w:hAnsi="方正仿宋简体" w:cs="仿宋" w:hint="eastAsia"/>
          <w:color w:val="000000"/>
          <w:spacing w:val="10"/>
          <w:w w:val="98"/>
          <w:sz w:val="33"/>
          <w:szCs w:val="33"/>
        </w:rPr>
        <w:t>获得</w:t>
      </w:r>
      <w:r>
        <w:rPr>
          <w:rFonts w:ascii="方正仿宋简体" w:eastAsia="方正仿宋简体" w:hAnsi="方正仿宋简体" w:cs="仿宋"/>
          <w:color w:val="000000"/>
          <w:spacing w:val="10"/>
          <w:w w:val="98"/>
          <w:sz w:val="33"/>
          <w:szCs w:val="33"/>
        </w:rPr>
        <w:t>一</w:t>
      </w:r>
      <w:r>
        <w:rPr>
          <w:rFonts w:ascii="方正仿宋简体" w:eastAsia="方正仿宋简体" w:hAnsi="方正仿宋简体" w:cs="仿宋" w:hint="eastAsia"/>
          <w:color w:val="000000"/>
          <w:spacing w:val="10"/>
          <w:w w:val="98"/>
          <w:sz w:val="33"/>
          <w:szCs w:val="33"/>
        </w:rPr>
        <w:t>等奖</w:t>
      </w:r>
      <w:r>
        <w:rPr>
          <w:rFonts w:ascii="方正仿宋简体" w:eastAsia="方正仿宋简体" w:hAnsi="方正仿宋简体" w:cs="仿宋"/>
          <w:color w:val="000000"/>
          <w:spacing w:val="10"/>
          <w:w w:val="98"/>
          <w:sz w:val="33"/>
          <w:szCs w:val="33"/>
        </w:rPr>
        <w:t>、二等奖队伍的指导教师获评</w:t>
      </w:r>
      <w:r>
        <w:rPr>
          <w:rFonts w:ascii="方正仿宋简体" w:eastAsia="方正仿宋简体" w:hAnsi="方正仿宋简体" w:cs="仿宋"/>
          <w:color w:val="000000"/>
          <w:spacing w:val="10"/>
          <w:w w:val="98"/>
          <w:sz w:val="33"/>
          <w:szCs w:val="33"/>
        </w:rPr>
        <w:t>“</w:t>
      </w:r>
      <w:r>
        <w:rPr>
          <w:rFonts w:ascii="方正仿宋简体" w:eastAsia="方正仿宋简体" w:hAnsi="方正仿宋简体" w:cs="仿宋"/>
          <w:color w:val="000000"/>
          <w:spacing w:val="10"/>
          <w:w w:val="98"/>
          <w:sz w:val="33"/>
          <w:szCs w:val="33"/>
        </w:rPr>
        <w:t>最佳指导教师</w:t>
      </w:r>
      <w:r>
        <w:rPr>
          <w:rFonts w:ascii="方正仿宋简体" w:eastAsia="方正仿宋简体" w:hAnsi="方正仿宋简体" w:cs="仿宋"/>
          <w:color w:val="000000"/>
          <w:spacing w:val="10"/>
          <w:w w:val="98"/>
          <w:sz w:val="33"/>
          <w:szCs w:val="33"/>
        </w:rPr>
        <w:t>”</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color w:val="000000"/>
          <w:spacing w:val="10"/>
          <w:w w:val="98"/>
          <w:sz w:val="33"/>
          <w:szCs w:val="33"/>
        </w:rPr>
        <w:t>获得</w:t>
      </w:r>
      <w:r>
        <w:rPr>
          <w:rFonts w:ascii="方正仿宋简体" w:eastAsia="方正仿宋简体" w:hAnsi="方正仿宋简体" w:cs="仿宋" w:hint="eastAsia"/>
          <w:color w:val="000000"/>
          <w:spacing w:val="10"/>
          <w:w w:val="98"/>
          <w:sz w:val="33"/>
          <w:szCs w:val="33"/>
        </w:rPr>
        <w:t>三</w:t>
      </w:r>
      <w:r>
        <w:rPr>
          <w:rFonts w:ascii="方正仿宋简体" w:eastAsia="方正仿宋简体" w:hAnsi="方正仿宋简体" w:cs="仿宋"/>
          <w:color w:val="000000"/>
          <w:spacing w:val="10"/>
          <w:w w:val="98"/>
          <w:sz w:val="33"/>
          <w:szCs w:val="33"/>
        </w:rPr>
        <w:t>等奖</w:t>
      </w:r>
      <w:r>
        <w:rPr>
          <w:rFonts w:ascii="方正仿宋简体" w:eastAsia="方正仿宋简体" w:hAnsi="方正仿宋简体" w:cs="仿宋" w:hint="eastAsia"/>
          <w:color w:val="000000"/>
          <w:spacing w:val="10"/>
          <w:w w:val="98"/>
          <w:sz w:val="33"/>
          <w:szCs w:val="33"/>
        </w:rPr>
        <w:t>、优秀奖</w:t>
      </w:r>
      <w:r>
        <w:rPr>
          <w:rFonts w:ascii="方正仿宋简体" w:eastAsia="方正仿宋简体" w:hAnsi="方正仿宋简体" w:cs="仿宋"/>
          <w:color w:val="000000"/>
          <w:spacing w:val="10"/>
          <w:w w:val="98"/>
          <w:sz w:val="33"/>
          <w:szCs w:val="33"/>
        </w:rPr>
        <w:t>队伍的指导教师获评</w:t>
      </w:r>
      <w:r>
        <w:rPr>
          <w:rFonts w:ascii="方正仿宋简体" w:eastAsia="方正仿宋简体" w:hAnsi="方正仿宋简体" w:cs="仿宋"/>
          <w:color w:val="000000"/>
          <w:spacing w:val="10"/>
          <w:w w:val="98"/>
          <w:sz w:val="33"/>
          <w:szCs w:val="33"/>
        </w:rPr>
        <w:t>“</w:t>
      </w:r>
      <w:r>
        <w:rPr>
          <w:rFonts w:ascii="方正仿宋简体" w:eastAsia="方正仿宋简体" w:hAnsi="方正仿宋简体" w:cs="仿宋" w:hint="eastAsia"/>
          <w:color w:val="000000"/>
          <w:spacing w:val="10"/>
          <w:w w:val="98"/>
          <w:sz w:val="33"/>
          <w:szCs w:val="33"/>
        </w:rPr>
        <w:t>优秀</w:t>
      </w:r>
      <w:r>
        <w:rPr>
          <w:rFonts w:ascii="方正仿宋简体" w:eastAsia="方正仿宋简体" w:hAnsi="方正仿宋简体" w:cs="仿宋"/>
          <w:color w:val="000000"/>
          <w:spacing w:val="10"/>
          <w:w w:val="98"/>
          <w:sz w:val="33"/>
          <w:szCs w:val="33"/>
        </w:rPr>
        <w:t>指导教师</w:t>
      </w:r>
      <w:r>
        <w:rPr>
          <w:rFonts w:ascii="方正仿宋简体" w:eastAsia="方正仿宋简体" w:hAnsi="方正仿宋简体" w:cs="仿宋"/>
          <w:color w:val="000000"/>
          <w:spacing w:val="10"/>
          <w:w w:val="98"/>
          <w:sz w:val="33"/>
          <w:szCs w:val="33"/>
        </w:rPr>
        <w:t>”</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color w:val="000000"/>
          <w:spacing w:val="10"/>
          <w:w w:val="98"/>
          <w:sz w:val="33"/>
          <w:szCs w:val="33"/>
        </w:rPr>
        <w:t>。</w:t>
      </w:r>
    </w:p>
    <w:p w:rsidR="00697A8A" w:rsidRDefault="004514D9">
      <w:pPr>
        <w:widowControl/>
        <w:snapToGrid w:val="0"/>
        <w:spacing w:beforeLines="100" w:before="312" w:afterLines="100" w:after="312" w:line="580" w:lineRule="exact"/>
        <w:jc w:val="center"/>
        <w:rPr>
          <w:rFonts w:ascii="楷体" w:eastAsia="楷体" w:hAnsi="楷体" w:cs="楷体"/>
          <w:b/>
          <w:bCs/>
          <w:color w:val="000000"/>
          <w:spacing w:val="10"/>
          <w:w w:val="98"/>
          <w:sz w:val="33"/>
          <w:szCs w:val="33"/>
        </w:rPr>
      </w:pPr>
      <w:r>
        <w:rPr>
          <w:rFonts w:ascii="楷体" w:eastAsia="楷体" w:hAnsi="楷体" w:cs="楷体" w:hint="eastAsia"/>
          <w:b/>
          <w:bCs/>
          <w:color w:val="000000"/>
          <w:spacing w:val="10"/>
          <w:w w:val="98"/>
          <w:sz w:val="33"/>
          <w:szCs w:val="33"/>
        </w:rPr>
        <w:t>最佳组织奖</w:t>
      </w:r>
    </w:p>
    <w:p w:rsidR="00697A8A" w:rsidRDefault="004514D9">
      <w:pPr>
        <w:ind w:firstLineChars="200" w:firstLine="687"/>
        <w:rPr>
          <w:rFonts w:eastAsia="方正仿宋简体"/>
          <w:sz w:val="20"/>
          <w:szCs w:val="22"/>
        </w:rPr>
      </w:pPr>
      <w:r>
        <w:rPr>
          <w:rFonts w:ascii="方正仿宋简体" w:eastAsia="方正仿宋简体" w:hAnsi="方正仿宋简体" w:cs="仿宋" w:hint="eastAsia"/>
          <w:color w:val="000000"/>
          <w:spacing w:val="10"/>
          <w:w w:val="98"/>
          <w:sz w:val="33"/>
          <w:szCs w:val="33"/>
        </w:rPr>
        <w:t>西南财经大学</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天津财经大学</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重庆科技大学</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大连民族大学</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浙江财经大学</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南京财经大学</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云南财经大学</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上海商学院</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广东金融学院</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昆明学院</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广西大学</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广西科技大学</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湖州师范大学</w:t>
      </w:r>
      <w:r>
        <w:rPr>
          <w:rFonts w:ascii="方正仿宋简体" w:eastAsia="方正仿宋简体" w:hAnsi="方正仿宋简体" w:cs="仿宋" w:hint="eastAsia"/>
          <w:color w:val="000000"/>
          <w:spacing w:val="10"/>
          <w:w w:val="98"/>
          <w:sz w:val="33"/>
          <w:szCs w:val="33"/>
        </w:rPr>
        <w:t>、</w:t>
      </w:r>
      <w:r>
        <w:rPr>
          <w:rFonts w:ascii="方正仿宋简体" w:eastAsia="方正仿宋简体" w:hAnsi="方正仿宋简体" w:cs="仿宋" w:hint="eastAsia"/>
          <w:color w:val="000000"/>
          <w:spacing w:val="10"/>
          <w:w w:val="98"/>
          <w:sz w:val="33"/>
          <w:szCs w:val="33"/>
        </w:rPr>
        <w:t>华东</w:t>
      </w:r>
      <w:r>
        <w:rPr>
          <w:rFonts w:ascii="方正仿宋简体" w:eastAsia="方正仿宋简体" w:hAnsi="方正仿宋简体" w:cs="仿宋" w:hint="eastAsia"/>
          <w:color w:val="000000"/>
          <w:spacing w:val="10"/>
          <w:w w:val="98"/>
          <w:sz w:val="33"/>
          <w:szCs w:val="33"/>
        </w:rPr>
        <w:t>师范大学、</w:t>
      </w:r>
      <w:r>
        <w:rPr>
          <w:rFonts w:ascii="方正仿宋简体" w:eastAsia="方正仿宋简体" w:hAnsi="方正仿宋简体" w:cs="仿宋" w:hint="eastAsia"/>
          <w:color w:val="000000"/>
          <w:spacing w:val="10"/>
          <w:w w:val="98"/>
          <w:sz w:val="33"/>
          <w:szCs w:val="33"/>
        </w:rPr>
        <w:t>鲁东大学</w:t>
      </w:r>
      <w:r>
        <w:rPr>
          <w:rFonts w:ascii="方正仿宋简体" w:eastAsia="方正仿宋简体" w:hAnsi="方正仿宋简体" w:cs="仿宋" w:hint="eastAsia"/>
          <w:color w:val="000000"/>
          <w:spacing w:val="10"/>
          <w:w w:val="98"/>
          <w:sz w:val="33"/>
          <w:szCs w:val="33"/>
        </w:rPr>
        <w:t>。</w:t>
      </w:r>
    </w:p>
    <w:sectPr w:rsidR="00697A8A">
      <w:pgSz w:w="11906" w:h="16838"/>
      <w:pgMar w:top="1440" w:right="1689" w:bottom="1440" w:left="168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charset w:val="86"/>
    <w:family w:val="auto"/>
    <w:pitch w:val="default"/>
    <w:sig w:usb0="A00002BF" w:usb1="184F6CFA" w:usb2="00000012" w:usb3="00000000" w:csb0="00040001" w:csb1="00000000"/>
    <w:embedRegular r:id="rId1" w:subsetted="1" w:fontKey="{5C6D7AB1-0FCF-404F-BB2A-4C4C99580D6D}"/>
    <w:embedBold r:id="rId2" w:subsetted="1" w:fontKey="{70240870-28C9-4DB1-9336-38F3EE6ACD34}"/>
  </w:font>
  <w:font w:name="仿宋">
    <w:panose1 w:val="02010609060101010101"/>
    <w:charset w:val="86"/>
    <w:family w:val="modern"/>
    <w:pitch w:val="fixed"/>
    <w:sig w:usb0="800002BF" w:usb1="38CF7CFA" w:usb2="00000016" w:usb3="00000000" w:csb0="00040001" w:csb1="00000000"/>
    <w:embedRegular r:id="rId3" w:subsetted="1" w:fontKey="{547E9513-3A7A-4934-A2B6-1768D6E65866}"/>
    <w:embedBold r:id="rId4" w:subsetted="1" w:fontKey="{59F2EB56-3F48-4A88-A30D-6092CCCCC186}"/>
  </w:font>
  <w:font w:name="楷体">
    <w:panose1 w:val="02010609060101010101"/>
    <w:charset w:val="86"/>
    <w:family w:val="modern"/>
    <w:pitch w:val="fixed"/>
    <w:sig w:usb0="800002BF" w:usb1="38CF7CFA" w:usb2="00000016" w:usb3="00000000" w:csb0="00040001" w:csb1="00000000"/>
    <w:embedBold r:id="rId5" w:subsetted="1" w:fontKey="{B1FF5F83-FBB7-4734-8607-60E9FB2CD44D}"/>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A8A"/>
    <w:rsid w:val="004514D9"/>
    <w:rsid w:val="00697A8A"/>
    <w:rsid w:val="064975CC"/>
    <w:rsid w:val="0B78442A"/>
    <w:rsid w:val="0BC33EB3"/>
    <w:rsid w:val="0E061627"/>
    <w:rsid w:val="0ED1410A"/>
    <w:rsid w:val="12EF7CAE"/>
    <w:rsid w:val="13A92A82"/>
    <w:rsid w:val="1C0C5203"/>
    <w:rsid w:val="1DB849B8"/>
    <w:rsid w:val="1E7F3A49"/>
    <w:rsid w:val="205A6444"/>
    <w:rsid w:val="25EF2041"/>
    <w:rsid w:val="28700888"/>
    <w:rsid w:val="2DCE6407"/>
    <w:rsid w:val="2FCD05A8"/>
    <w:rsid w:val="30974EC3"/>
    <w:rsid w:val="3161436A"/>
    <w:rsid w:val="363E5062"/>
    <w:rsid w:val="39F916FC"/>
    <w:rsid w:val="3AE22FE1"/>
    <w:rsid w:val="3B35028E"/>
    <w:rsid w:val="3C237ED3"/>
    <w:rsid w:val="407B07EE"/>
    <w:rsid w:val="412E19BE"/>
    <w:rsid w:val="49C35FF4"/>
    <w:rsid w:val="4B4D1EF0"/>
    <w:rsid w:val="4B660DFA"/>
    <w:rsid w:val="4B6706A9"/>
    <w:rsid w:val="4F8B327F"/>
    <w:rsid w:val="58030761"/>
    <w:rsid w:val="5A7914CD"/>
    <w:rsid w:val="5A9C0223"/>
    <w:rsid w:val="63B81CCF"/>
    <w:rsid w:val="64C96DD9"/>
    <w:rsid w:val="684F04AC"/>
    <w:rsid w:val="691E36B6"/>
    <w:rsid w:val="6C2A3E72"/>
    <w:rsid w:val="6F7C731F"/>
    <w:rsid w:val="729B4213"/>
    <w:rsid w:val="72FC0C01"/>
    <w:rsid w:val="77762947"/>
    <w:rsid w:val="77C71C6C"/>
    <w:rsid w:val="78D01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56BEE"/>
  <w15:docId w15:val="{DCCF5A73-E392-4238-99D6-EEC2532F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-般般-</dc:creator>
  <cp:lastModifiedBy>lenovo</cp:lastModifiedBy>
  <cp:revision>2</cp:revision>
  <dcterms:created xsi:type="dcterms:W3CDTF">2026-06-15T04:11:00Z</dcterms:created>
  <dcterms:modified xsi:type="dcterms:W3CDTF">2026-06-17T05:54:00Z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2abcda1467f94148aa84c1e3795800c2_23</vt:lpwstr>
  </property>
  <property fmtid="{D5CDD505-2E9C-101B-9397-08002B2CF9AE}" pid="4" name="KSOTemplateDocerSaveRecord">
    <vt:lpwstr>eyJoZGlkIjoiZmY1OWZiNmJiNWQ4NDZlZjgxY2JiOWYwMTQyYWUwZjkiLCJ1c2VySWQiOiIzNjMzMjI3ODQifQ==</vt:lpwstr>
  </property>
</Properties>
</file>